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157EC">
      <w:pPr>
        <w:pStyle w:val="2"/>
        <w:keepNext w:val="0"/>
        <w:keepLines w:val="0"/>
        <w:pageBreakBefore w:val="0"/>
        <w:widowControl w:val="0"/>
        <w:tabs>
          <w:tab w:val="left" w:pos="351"/>
        </w:tabs>
        <w:kinsoku/>
        <w:wordWrap/>
        <w:overflowPunct/>
        <w:topLinePunct w:val="0"/>
        <w:autoSpaceDE/>
        <w:autoSpaceDN/>
        <w:bidi w:val="0"/>
        <w:adjustRightInd/>
        <w:snapToGrid/>
        <w:spacing w:before="0" w:beforeLines="0" w:after="0" w:afterLines="0"/>
        <w:ind w:firstLine="0" w:firstLineChars="0"/>
        <w:jc w:val="center"/>
        <w:textAlignment w:val="auto"/>
        <w:rPr>
          <w:rFonts w:hint="eastAsia" w:eastAsia="黑体" w:cs="Times New Roman"/>
          <w:b/>
          <w:color w:val="auto"/>
          <w:sz w:val="36"/>
          <w:szCs w:val="36"/>
          <w:lang w:val="en-US" w:eastAsia="zh-CN"/>
        </w:rPr>
      </w:pPr>
      <w:r>
        <w:rPr>
          <w:rFonts w:hint="eastAsia" w:eastAsia="黑体" w:cs="Times New Roman"/>
          <w:b/>
          <w:color w:val="auto"/>
          <w:sz w:val="36"/>
          <w:szCs w:val="36"/>
          <w:lang w:val="en-US" w:eastAsia="zh-CN"/>
        </w:rPr>
        <w:t>新疆宏滙建筑建材检测有限公司乌鲁木齐市分公司</w:t>
      </w:r>
    </w:p>
    <w:p w14:paraId="668C270D">
      <w:pPr>
        <w:pStyle w:val="2"/>
        <w:keepNext w:val="0"/>
        <w:keepLines w:val="0"/>
        <w:pageBreakBefore w:val="0"/>
        <w:widowControl w:val="0"/>
        <w:tabs>
          <w:tab w:val="left" w:pos="351"/>
        </w:tabs>
        <w:kinsoku/>
        <w:wordWrap/>
        <w:overflowPunct/>
        <w:topLinePunct w:val="0"/>
        <w:autoSpaceDE/>
        <w:autoSpaceDN/>
        <w:bidi w:val="0"/>
        <w:adjustRightInd/>
        <w:snapToGrid/>
        <w:spacing w:before="0" w:beforeLines="0" w:after="0" w:afterLines="0"/>
        <w:ind w:firstLine="0" w:firstLineChars="0"/>
        <w:jc w:val="center"/>
        <w:textAlignment w:val="auto"/>
        <w:rPr>
          <w:rFonts w:hint="default" w:ascii="Times New Roman" w:hAnsi="Times New Roman" w:eastAsia="黑体" w:cs="Times New Roman"/>
          <w:b/>
          <w:color w:val="auto"/>
          <w:sz w:val="36"/>
          <w:szCs w:val="36"/>
          <w:lang w:val="en-US" w:eastAsia="zh-CN"/>
        </w:rPr>
      </w:pPr>
      <w:r>
        <w:rPr>
          <w:rFonts w:hint="eastAsia" w:eastAsia="黑体" w:cs="Times New Roman"/>
          <w:b/>
          <w:color w:val="auto"/>
          <w:sz w:val="36"/>
          <w:szCs w:val="36"/>
          <w:lang w:val="en-US" w:eastAsia="zh-CN"/>
        </w:rPr>
        <w:t>检测基地建设项目</w:t>
      </w:r>
      <w:r>
        <w:rPr>
          <w:rFonts w:hint="default" w:ascii="Times New Roman" w:hAnsi="Times New Roman" w:eastAsia="黑体" w:cs="Times New Roman"/>
          <w:b/>
          <w:color w:val="auto"/>
          <w:sz w:val="36"/>
          <w:szCs w:val="36"/>
          <w:lang w:val="en-US" w:eastAsia="zh-CN"/>
        </w:rPr>
        <w:t>“其他需要说明的事项”</w:t>
      </w:r>
    </w:p>
    <w:p w14:paraId="216FAD78">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0"/>
        <w:rPr>
          <w:rFonts w:hint="default" w:ascii="Times New Roman" w:hAnsi="Times New Roman" w:eastAsia="黑体" w:cs="Times New Roman"/>
          <w:b/>
          <w:color w:val="auto"/>
          <w:sz w:val="30"/>
          <w:szCs w:val="30"/>
          <w:lang w:val="en-US" w:eastAsia="zh-CN"/>
        </w:rPr>
      </w:pPr>
      <w:r>
        <w:rPr>
          <w:rFonts w:hint="default" w:ascii="Times New Roman" w:hAnsi="Times New Roman" w:cs="Times New Roman"/>
          <w:color w:val="auto"/>
          <w:sz w:val="30"/>
          <w:szCs w:val="30"/>
          <w:lang w:val="en-US"/>
        </w:rPr>
        <w:t>1</w:t>
      </w:r>
      <w:r>
        <w:rPr>
          <w:rFonts w:hint="default" w:ascii="Times New Roman" w:hAnsi="Times New Roman" w:cs="Times New Roman"/>
          <w:color w:val="auto"/>
          <w:sz w:val="30"/>
          <w:szCs w:val="30"/>
          <w:lang w:eastAsia="zh-CN"/>
        </w:rPr>
        <w:t>环境保护设施设计、施工和验收过程简况</w:t>
      </w:r>
    </w:p>
    <w:p w14:paraId="0F5C5F92">
      <w:pPr>
        <w:pStyle w:val="4"/>
        <w:pageBreakBefore w:val="0"/>
        <w:widowControl/>
        <w:kinsoku/>
        <w:wordWrap/>
        <w:overflowPunct/>
        <w:topLinePunct w:val="0"/>
        <w:autoSpaceDE/>
        <w:autoSpaceDN/>
        <w:bidi w:val="0"/>
        <w:adjustRightInd/>
        <w:snapToGrid/>
        <w:spacing w:before="0" w:after="0" w:line="360" w:lineRule="auto"/>
        <w:ind w:firstLine="602" w:firstLineChars="200"/>
        <w:textAlignment w:val="auto"/>
        <w:rPr>
          <w:rFonts w:hint="default" w:ascii="Times New Roman" w:hAnsi="Times New Roman" w:eastAsia="宋体" w:cs="Times New Roman"/>
          <w:b/>
          <w:bCs w:val="0"/>
          <w:color w:val="auto"/>
          <w:sz w:val="30"/>
          <w:szCs w:val="30"/>
          <w:lang w:val="en-US" w:eastAsia="zh-CN"/>
        </w:rPr>
      </w:pPr>
      <w:r>
        <w:rPr>
          <w:rFonts w:hint="default" w:ascii="Times New Roman" w:hAnsi="Times New Roman" w:eastAsia="宋体" w:cs="Times New Roman"/>
          <w:b/>
          <w:bCs w:val="0"/>
          <w:color w:val="auto"/>
          <w:sz w:val="30"/>
          <w:szCs w:val="30"/>
          <w:lang w:val="en-US" w:eastAsia="zh-CN"/>
        </w:rPr>
        <w:t>1.1设计简况</w:t>
      </w:r>
      <w:bookmarkStart w:id="0" w:name="_GoBack"/>
      <w:bookmarkEnd w:id="0"/>
    </w:p>
    <w:p w14:paraId="2503C56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pP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新疆宏滙建筑建材检测有限公司乌鲁木齐市分公司检测基地建设项目为扩建项目、未批先建项目。项目</w:t>
      </w: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位于新疆乌鲁木齐市米东区化工园区开泰南路1298号，本项目涉及的1#检测车间位于原2#检测车间西侧，3#检测车间位于原2#检测车间南侧。新疆宏滙建筑建材检测有限公司东北侧为开泰南路，北侧隔开泰南路为新疆多维钢构结构有限公司；西北侧为九沟南路，隔路为新疆滋佰农生物工程有限公司；西南侧为徽北金报废汽车回收拆解有限公司。项目区中心位置地理坐标：东经87°44′59.437″，北纬43°59′20.228″。</w:t>
      </w:r>
    </w:p>
    <w:p w14:paraId="657EFFE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项目于2021年8月开工建设；2023年6月6日，乌鲁木齐市生态环境局下发了责令改正违法行为决定书（乌环改决[2023]MD957号）；2023年8月，新疆正佳环保科技有限公司编制完成了《新疆宏滙建筑建材检测有限公司乌鲁木齐市分公司检测基地建设项目环境影响报告表》；2023年8月28日，乌鲁木齐市生态环境局以乌环评（米）审﹝2023﹞42号文件对环境影响报告表予以批复。2023年11月建成并投入试运行。</w:t>
      </w:r>
    </w:p>
    <w:p w14:paraId="5B603DDE">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eastAsia="宋体" w:cs="Times New Roman"/>
          <w:b/>
          <w:bCs w:val="0"/>
          <w:color w:val="auto"/>
          <w:sz w:val="30"/>
          <w:szCs w:val="30"/>
          <w:lang w:val="en-US" w:eastAsia="zh-CN"/>
        </w:rPr>
      </w:pPr>
      <w:r>
        <w:rPr>
          <w:rFonts w:hint="default" w:ascii="Times New Roman" w:hAnsi="Times New Roman" w:eastAsia="宋体" w:cs="Times New Roman"/>
          <w:b/>
          <w:bCs w:val="0"/>
          <w:color w:val="auto"/>
          <w:sz w:val="30"/>
          <w:szCs w:val="30"/>
          <w:lang w:val="en-US" w:eastAsia="zh-CN"/>
        </w:rPr>
        <w:t>1.2施工简况</w:t>
      </w:r>
    </w:p>
    <w:p w14:paraId="4F6BF273">
      <w:pPr>
        <w:pStyle w:val="15"/>
        <w:keepNext w:val="0"/>
        <w:keepLines w:val="0"/>
        <w:pageBreakBefore w:val="0"/>
        <w:widowControl w:val="0"/>
        <w:kinsoku/>
        <w:wordWrap/>
        <w:overflowPunct/>
        <w:topLinePunct w:val="0"/>
        <w:autoSpaceDE/>
        <w:autoSpaceDN/>
        <w:bidi w:val="0"/>
        <w:adjustRightInd/>
        <w:snapToGrid/>
        <w:spacing w:line="360" w:lineRule="auto"/>
        <w:ind w:left="0" w:right="0" w:firstLine="600" w:firstLineChars="200"/>
        <w:textAlignment w:val="auto"/>
        <w:rPr>
          <w:rFonts w:hint="default" w:ascii="Times New Roman" w:hAnsi="Times New Roman" w:eastAsia="仿宋" w:cs="Times New Roman"/>
          <w:snapToGrid/>
          <w:color w:val="FF0000"/>
          <w:spacing w:val="0"/>
          <w:w w:val="100"/>
          <w:kern w:val="0"/>
          <w:position w:val="0"/>
          <w:sz w:val="30"/>
          <w:szCs w:val="30"/>
          <w:u w:val="none"/>
          <w:shd w:val="clear" w:color="auto" w:fill="auto"/>
          <w:lang w:val="en-US" w:eastAsia="zh-CN" w:bidi="zh-TW"/>
        </w:rPr>
      </w:pP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本项目主要建设内容为在已租赁的1#检测车间内新增一套单体燃烧设施和一套沥青燃烧试验设施，并租赁3#检测车间，用于开展耐火试验和金属屋面抗风揭试验等。项目占地面积1600m</w:t>
      </w:r>
      <w:r>
        <w:rPr>
          <w:rFonts w:hint="eastAsia" w:ascii="Times New Roman" w:hAnsi="Times New Roman" w:eastAsia="仿宋" w:cs="Times New Roman"/>
          <w:snapToGrid/>
          <w:color w:val="auto"/>
          <w:spacing w:val="0"/>
          <w:w w:val="100"/>
          <w:kern w:val="0"/>
          <w:position w:val="0"/>
          <w:sz w:val="30"/>
          <w:szCs w:val="30"/>
          <w:u w:val="none"/>
          <w:shd w:val="clear" w:color="auto" w:fill="auto"/>
          <w:vertAlign w:val="superscript"/>
          <w:lang w:val="en-US" w:eastAsia="zh-CN" w:bidi="zh-TW"/>
        </w:rPr>
        <w:t>2</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（1#检测车间1000m</w:t>
      </w:r>
      <w:r>
        <w:rPr>
          <w:rFonts w:hint="eastAsia" w:ascii="Times New Roman" w:hAnsi="Times New Roman" w:eastAsia="仿宋" w:cs="Times New Roman"/>
          <w:snapToGrid/>
          <w:color w:val="auto"/>
          <w:spacing w:val="0"/>
          <w:w w:val="100"/>
          <w:kern w:val="0"/>
          <w:position w:val="0"/>
          <w:sz w:val="30"/>
          <w:szCs w:val="30"/>
          <w:u w:val="none"/>
          <w:shd w:val="clear" w:color="auto" w:fill="auto"/>
          <w:vertAlign w:val="superscript"/>
          <w:lang w:val="en-US" w:eastAsia="zh-CN" w:bidi="zh-TW"/>
        </w:rPr>
        <w:t>2</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，3#检测车间600m</w:t>
      </w:r>
      <w:r>
        <w:rPr>
          <w:rFonts w:hint="eastAsia" w:ascii="Times New Roman" w:hAnsi="Times New Roman" w:eastAsia="仿宋" w:cs="Times New Roman"/>
          <w:snapToGrid/>
          <w:color w:val="auto"/>
          <w:spacing w:val="0"/>
          <w:w w:val="100"/>
          <w:kern w:val="0"/>
          <w:position w:val="0"/>
          <w:sz w:val="30"/>
          <w:szCs w:val="30"/>
          <w:u w:val="none"/>
          <w:shd w:val="clear" w:color="auto" w:fill="auto"/>
          <w:vertAlign w:val="superscript"/>
          <w:lang w:val="en-US" w:eastAsia="zh-CN" w:bidi="zh-TW"/>
        </w:rPr>
        <w:t>2</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），建筑面积1600m</w:t>
      </w:r>
      <w:r>
        <w:rPr>
          <w:rFonts w:hint="eastAsia" w:ascii="Times New Roman" w:hAnsi="Times New Roman" w:eastAsia="仿宋" w:cs="Times New Roman"/>
          <w:snapToGrid/>
          <w:color w:val="auto"/>
          <w:spacing w:val="0"/>
          <w:w w:val="100"/>
          <w:kern w:val="0"/>
          <w:position w:val="0"/>
          <w:sz w:val="30"/>
          <w:szCs w:val="30"/>
          <w:u w:val="none"/>
          <w:shd w:val="clear" w:color="auto" w:fill="auto"/>
          <w:vertAlign w:val="superscript"/>
          <w:lang w:val="en-US" w:eastAsia="zh-CN" w:bidi="zh-TW"/>
        </w:rPr>
        <w:t>2</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（1#检测车间1000m</w:t>
      </w:r>
      <w:r>
        <w:rPr>
          <w:rFonts w:hint="eastAsia" w:ascii="Times New Roman" w:hAnsi="Times New Roman" w:eastAsia="仿宋" w:cs="Times New Roman"/>
          <w:snapToGrid/>
          <w:color w:val="auto"/>
          <w:spacing w:val="0"/>
          <w:w w:val="100"/>
          <w:kern w:val="0"/>
          <w:position w:val="0"/>
          <w:sz w:val="30"/>
          <w:szCs w:val="30"/>
          <w:u w:val="none"/>
          <w:shd w:val="clear" w:color="auto" w:fill="auto"/>
          <w:vertAlign w:val="superscript"/>
          <w:lang w:val="en-US" w:eastAsia="zh-CN" w:bidi="zh-TW"/>
        </w:rPr>
        <w:t>2</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，3#检测车间600m</w:t>
      </w:r>
      <w:r>
        <w:rPr>
          <w:rFonts w:hint="eastAsia" w:ascii="Times New Roman" w:hAnsi="Times New Roman" w:eastAsia="仿宋" w:cs="Times New Roman"/>
          <w:snapToGrid/>
          <w:color w:val="auto"/>
          <w:spacing w:val="0"/>
          <w:w w:val="100"/>
          <w:kern w:val="0"/>
          <w:position w:val="0"/>
          <w:sz w:val="30"/>
          <w:szCs w:val="30"/>
          <w:u w:val="none"/>
          <w:shd w:val="clear" w:color="auto" w:fill="auto"/>
          <w:vertAlign w:val="superscript"/>
          <w:lang w:val="en-US" w:eastAsia="zh-CN" w:bidi="zh-TW"/>
        </w:rPr>
        <w:t>2</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）。本项目实验室不开展化学分析试验、生物安全检测及转基因检测。</w:t>
      </w:r>
    </w:p>
    <w:p w14:paraId="5D68E4A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pP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项目实际总投资2000万，其中环保投资为103万元，占项目总投资的5.15%。</w:t>
      </w:r>
    </w:p>
    <w:p w14:paraId="010ECEFE">
      <w:pPr>
        <w:pStyle w:val="4"/>
        <w:pageBreakBefore w:val="0"/>
        <w:widowControl/>
        <w:kinsoku/>
        <w:wordWrap/>
        <w:overflowPunct/>
        <w:topLinePunct w:val="0"/>
        <w:autoSpaceDE/>
        <w:autoSpaceDN/>
        <w:bidi w:val="0"/>
        <w:adjustRightInd/>
        <w:snapToGrid/>
        <w:spacing w:before="0" w:after="0" w:line="360" w:lineRule="auto"/>
        <w:ind w:firstLine="602" w:firstLineChars="200"/>
        <w:textAlignment w:val="auto"/>
        <w:rPr>
          <w:rFonts w:hint="default" w:ascii="Times New Roman" w:hAnsi="Times New Roman" w:eastAsia="宋体" w:cs="Times New Roman"/>
          <w:b/>
          <w:bCs w:val="0"/>
          <w:color w:val="auto"/>
          <w:sz w:val="30"/>
          <w:szCs w:val="30"/>
          <w:lang w:val="en-US" w:eastAsia="zh-CN"/>
        </w:rPr>
      </w:pPr>
      <w:r>
        <w:rPr>
          <w:rFonts w:hint="default" w:ascii="Times New Roman" w:hAnsi="Times New Roman" w:eastAsia="宋体" w:cs="Times New Roman"/>
          <w:b/>
          <w:bCs w:val="0"/>
          <w:color w:val="auto"/>
          <w:sz w:val="30"/>
          <w:szCs w:val="30"/>
          <w:lang w:val="en-US" w:eastAsia="zh-CN"/>
        </w:rPr>
        <w:t xml:space="preserve">1.3验收过程简况 </w:t>
      </w:r>
    </w:p>
    <w:p w14:paraId="2FE7F0D8">
      <w:pPr>
        <w:spacing w:line="360" w:lineRule="auto"/>
        <w:ind w:firstLine="600" w:firstLineChars="200"/>
        <w:jc w:val="both"/>
        <w:rPr>
          <w:rFonts w:hint="default" w:ascii="Times New Roman" w:hAnsi="Times New Roman" w:eastAsia="仿宋" w:cs="Times New Roman"/>
          <w:snapToGrid/>
          <w:color w:val="FF0000"/>
          <w:spacing w:val="0"/>
          <w:w w:val="100"/>
          <w:kern w:val="0"/>
          <w:position w:val="0"/>
          <w:sz w:val="30"/>
          <w:szCs w:val="30"/>
          <w:u w:val="none"/>
          <w:shd w:val="clear" w:color="auto" w:fill="auto"/>
          <w:lang w:val="en-US" w:eastAsia="zh-CN" w:bidi="zh-TW"/>
        </w:rPr>
      </w:pP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新疆宏滙建筑建材检测有限公司乌鲁木齐市分公司检测基地建设项目于</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2021年8月开工建设，于</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2023年11月建成并投入试运行。</w:t>
      </w: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202</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3</w:t>
      </w: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年</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12</w:t>
      </w: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月委托新疆</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坤诚</w:t>
      </w: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检测技术有限公司对项目进行验收</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w:t>
      </w: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新疆</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坤诚</w:t>
      </w: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检测技术有限公司</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于2023年12月20~22日进行验收监测工作</w:t>
      </w: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。202</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4</w:t>
      </w: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年</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1</w:t>
      </w: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月</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，新疆坤诚检测技术有限公司</w:t>
      </w: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编制完成《</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新疆宏滙建筑建材检测有限公司乌鲁木齐市分公司检测基地建设项目</w:t>
      </w: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竣工环境保护验收报告表》，202</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4</w:t>
      </w: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年</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2</w:t>
      </w: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月</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17</w:t>
      </w: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号组织召开验收会议，提出验收意见。</w:t>
      </w:r>
    </w:p>
    <w:p w14:paraId="3D2B9C75">
      <w:pPr>
        <w:pStyle w:val="4"/>
        <w:pageBreakBefore w:val="0"/>
        <w:widowControl/>
        <w:kinsoku/>
        <w:wordWrap/>
        <w:overflowPunct/>
        <w:topLinePunct w:val="0"/>
        <w:autoSpaceDE/>
        <w:autoSpaceDN/>
        <w:bidi w:val="0"/>
        <w:adjustRightInd/>
        <w:snapToGrid/>
        <w:spacing w:before="0" w:after="0" w:line="360" w:lineRule="auto"/>
        <w:ind w:firstLine="602" w:firstLineChars="200"/>
        <w:textAlignment w:val="auto"/>
        <w:rPr>
          <w:rFonts w:hint="default" w:ascii="Times New Roman" w:hAnsi="Times New Roman" w:eastAsia="宋体" w:cs="Times New Roman"/>
          <w:b/>
          <w:bCs w:val="0"/>
          <w:color w:val="auto"/>
          <w:sz w:val="30"/>
          <w:szCs w:val="30"/>
          <w:lang w:val="en-US" w:eastAsia="zh-CN"/>
        </w:rPr>
      </w:pPr>
      <w:r>
        <w:rPr>
          <w:rFonts w:hint="default" w:ascii="Times New Roman" w:hAnsi="Times New Roman" w:eastAsia="宋体" w:cs="Times New Roman"/>
          <w:b/>
          <w:bCs w:val="0"/>
          <w:color w:val="auto"/>
          <w:sz w:val="30"/>
          <w:szCs w:val="30"/>
          <w:lang w:val="en-US" w:eastAsia="zh-CN"/>
        </w:rPr>
        <w:t>1.4公众反馈意见及处理情况</w:t>
      </w:r>
    </w:p>
    <w:p w14:paraId="20011AEC">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00" w:firstLineChars="200"/>
        <w:jc w:val="both"/>
        <w:textAlignment w:val="auto"/>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pP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项目设计、施工和验收期间未收到过公众反馈意见及投诉。</w:t>
      </w:r>
    </w:p>
    <w:p w14:paraId="3AB0FF15">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0"/>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rPr>
        <w:t>2</w:t>
      </w:r>
      <w:r>
        <w:rPr>
          <w:rFonts w:hint="default" w:ascii="Times New Roman" w:hAnsi="Times New Roman" w:cs="Times New Roman"/>
          <w:color w:val="auto"/>
          <w:sz w:val="30"/>
          <w:szCs w:val="30"/>
          <w:lang w:val="en-US" w:eastAsia="zh-CN"/>
        </w:rPr>
        <w:t>其他环境保护措施的落实情况</w:t>
      </w:r>
    </w:p>
    <w:p w14:paraId="202F0A4D">
      <w:pPr>
        <w:pStyle w:val="4"/>
        <w:pageBreakBefore w:val="0"/>
        <w:widowControl/>
        <w:kinsoku/>
        <w:wordWrap/>
        <w:overflowPunct/>
        <w:topLinePunct w:val="0"/>
        <w:autoSpaceDE/>
        <w:autoSpaceDN/>
        <w:bidi w:val="0"/>
        <w:adjustRightInd/>
        <w:snapToGrid/>
        <w:spacing w:before="0" w:after="0" w:line="360" w:lineRule="auto"/>
        <w:ind w:firstLine="602" w:firstLineChars="200"/>
        <w:textAlignment w:val="auto"/>
        <w:rPr>
          <w:rFonts w:hint="default" w:ascii="Times New Roman" w:hAnsi="Times New Roman" w:eastAsia="宋体" w:cs="Times New Roman"/>
          <w:b/>
          <w:bCs w:val="0"/>
          <w:color w:val="auto"/>
          <w:sz w:val="30"/>
          <w:szCs w:val="30"/>
          <w:lang w:val="en-US"/>
        </w:rPr>
      </w:pPr>
      <w:r>
        <w:rPr>
          <w:rFonts w:hint="default" w:ascii="Times New Roman" w:hAnsi="Times New Roman" w:eastAsia="宋体" w:cs="Times New Roman"/>
          <w:b/>
          <w:bCs w:val="0"/>
          <w:color w:val="auto"/>
          <w:sz w:val="30"/>
          <w:szCs w:val="30"/>
          <w:lang w:val="en-US"/>
        </w:rPr>
        <w:t>2.1</w:t>
      </w:r>
      <w:r>
        <w:rPr>
          <w:rFonts w:hint="default" w:ascii="Times New Roman" w:hAnsi="Times New Roman" w:eastAsia="宋体" w:cs="Times New Roman"/>
          <w:b/>
          <w:bCs w:val="0"/>
          <w:color w:val="auto"/>
          <w:sz w:val="30"/>
          <w:szCs w:val="30"/>
          <w:lang w:val="en-US" w:eastAsia="zh-CN"/>
        </w:rPr>
        <w:t>制度措施落实情况</w:t>
      </w:r>
    </w:p>
    <w:p w14:paraId="5A360BE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00" w:firstLineChars="200"/>
        <w:jc w:val="both"/>
        <w:textAlignment w:val="auto"/>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pP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新疆宏滙建筑建材检测有限公司乌鲁木齐市分公司办公区、试验厂房有一定数量的环境风险防范措施，编制有突发环境事件应急预案，已在乌鲁木齐市环境应急中心提交备案资料并取得备案号：650109-2024-015-L。企业根据应急预案定期开展演练。</w:t>
      </w:r>
    </w:p>
    <w:p w14:paraId="5C239545">
      <w:pPr>
        <w:pStyle w:val="4"/>
        <w:pageBreakBefore w:val="0"/>
        <w:widowControl/>
        <w:kinsoku/>
        <w:wordWrap/>
        <w:overflowPunct/>
        <w:topLinePunct w:val="0"/>
        <w:autoSpaceDE/>
        <w:autoSpaceDN/>
        <w:bidi w:val="0"/>
        <w:adjustRightInd/>
        <w:snapToGrid/>
        <w:spacing w:before="0" w:after="0" w:line="360" w:lineRule="auto"/>
        <w:ind w:firstLine="602" w:firstLineChars="200"/>
        <w:textAlignment w:val="auto"/>
        <w:rPr>
          <w:rFonts w:hint="default" w:ascii="Times New Roman" w:hAnsi="Times New Roman" w:eastAsia="宋体" w:cs="Times New Roman"/>
          <w:b/>
          <w:bCs w:val="0"/>
          <w:color w:val="auto"/>
          <w:sz w:val="30"/>
          <w:szCs w:val="30"/>
          <w:lang w:val="en-US" w:eastAsia="zh-CN"/>
        </w:rPr>
      </w:pPr>
      <w:r>
        <w:rPr>
          <w:rFonts w:hint="default" w:ascii="Times New Roman" w:hAnsi="Times New Roman" w:eastAsia="宋体" w:cs="Times New Roman"/>
          <w:b/>
          <w:bCs w:val="0"/>
          <w:color w:val="auto"/>
          <w:sz w:val="30"/>
          <w:szCs w:val="30"/>
          <w:lang w:val="en-US" w:eastAsia="zh-CN"/>
        </w:rPr>
        <w:t>2.2配套措施落实情况</w:t>
      </w:r>
    </w:p>
    <w:p w14:paraId="434BB53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00" w:firstLineChars="200"/>
        <w:jc w:val="both"/>
        <w:textAlignment w:val="auto"/>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pP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（1）区域削减及淘汰落后产能</w:t>
      </w:r>
    </w:p>
    <w:p w14:paraId="50222EB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00" w:firstLineChars="200"/>
        <w:jc w:val="both"/>
        <w:textAlignment w:val="auto"/>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pP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项目未涉及到区域内削减污染物总量措施和淘汰落后产能的措施。</w:t>
      </w:r>
    </w:p>
    <w:p w14:paraId="01C3141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00" w:firstLineChars="200"/>
        <w:jc w:val="both"/>
        <w:textAlignment w:val="auto"/>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pP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（2）防护距离控制及居民搬迁</w:t>
      </w:r>
    </w:p>
    <w:p w14:paraId="77B1E68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00" w:firstLineChars="200"/>
        <w:jc w:val="both"/>
        <w:textAlignment w:val="auto"/>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pP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项目未涉及到防护距离控制及居民搬迁</w:t>
      </w:r>
      <w:r>
        <w:rPr>
          <w:rFonts w:hint="eastAsia"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w:t>
      </w:r>
    </w:p>
    <w:p w14:paraId="42D70AF7">
      <w:pPr>
        <w:pStyle w:val="4"/>
        <w:keepNext/>
        <w:keepLines/>
        <w:pageBreakBefore w:val="0"/>
        <w:widowControl/>
        <w:kinsoku/>
        <w:wordWrap/>
        <w:overflowPunct/>
        <w:topLinePunct w:val="0"/>
        <w:autoSpaceDE/>
        <w:autoSpaceDN/>
        <w:bidi w:val="0"/>
        <w:adjustRightInd/>
        <w:snapToGrid/>
        <w:spacing w:before="0" w:after="0" w:line="360" w:lineRule="auto"/>
        <w:ind w:firstLine="602" w:firstLineChars="200"/>
        <w:textAlignment w:val="auto"/>
        <w:outlineLvl w:val="1"/>
        <w:rPr>
          <w:rFonts w:hint="default" w:ascii="Times New Roman" w:hAnsi="Times New Roman" w:eastAsia="宋体" w:cs="Times New Roman"/>
          <w:b/>
          <w:bCs w:val="0"/>
          <w:color w:val="auto"/>
          <w:sz w:val="30"/>
          <w:szCs w:val="30"/>
          <w:lang w:val="en-US"/>
        </w:rPr>
      </w:pPr>
      <w:r>
        <w:rPr>
          <w:rFonts w:hint="default" w:ascii="Times New Roman" w:hAnsi="Times New Roman" w:eastAsia="宋体" w:cs="Times New Roman"/>
          <w:b/>
          <w:bCs w:val="0"/>
          <w:color w:val="auto"/>
          <w:sz w:val="30"/>
          <w:szCs w:val="30"/>
          <w:lang w:val="en-US"/>
        </w:rPr>
        <w:t>2.3</w:t>
      </w:r>
      <w:r>
        <w:rPr>
          <w:rFonts w:hint="default" w:ascii="Times New Roman" w:hAnsi="Times New Roman" w:eastAsia="宋体" w:cs="Times New Roman"/>
          <w:b/>
          <w:bCs w:val="0"/>
          <w:color w:val="auto"/>
          <w:sz w:val="30"/>
          <w:szCs w:val="30"/>
          <w:lang w:val="en-US" w:eastAsia="zh-CN"/>
        </w:rPr>
        <w:t>其他措施落实情况</w:t>
      </w:r>
    </w:p>
    <w:p w14:paraId="53C1E4B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00" w:firstLineChars="200"/>
        <w:jc w:val="both"/>
        <w:textAlignment w:val="auto"/>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pPr>
      <w:r>
        <w:rPr>
          <w:rFonts w:hint="default" w:ascii="Times New Roman" w:hAnsi="Times New Roman" w:eastAsia="仿宋" w:cs="Times New Roman"/>
          <w:snapToGrid/>
          <w:color w:val="auto"/>
          <w:spacing w:val="0"/>
          <w:w w:val="100"/>
          <w:kern w:val="0"/>
          <w:position w:val="0"/>
          <w:sz w:val="30"/>
          <w:szCs w:val="30"/>
          <w:u w:val="none"/>
          <w:shd w:val="clear" w:color="auto" w:fill="auto"/>
          <w:lang w:val="en-US" w:eastAsia="zh-CN" w:bidi="zh-TW"/>
        </w:rPr>
        <w:t>项目未涉及到林地补偿、珍稀动植物保护、区域环境整治、相关外围工程建设。</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197E8">
    <w:pPr>
      <w:widowControl w:val="0"/>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4179C">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D4179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MDdkY2IzNDEyMGM3ZjNkZGQ1ZjU3Y2MwZWM0MDUifQ=="/>
  </w:docVars>
  <w:rsids>
    <w:rsidRoot w:val="4E252AC8"/>
    <w:rsid w:val="0337171C"/>
    <w:rsid w:val="0518123A"/>
    <w:rsid w:val="05BB6053"/>
    <w:rsid w:val="06EA2737"/>
    <w:rsid w:val="08C35616"/>
    <w:rsid w:val="0B665FF7"/>
    <w:rsid w:val="0CE24F3E"/>
    <w:rsid w:val="0D4D06E1"/>
    <w:rsid w:val="10B76A98"/>
    <w:rsid w:val="131E0166"/>
    <w:rsid w:val="17DD4E3C"/>
    <w:rsid w:val="18300655"/>
    <w:rsid w:val="1F9C481A"/>
    <w:rsid w:val="219B79DA"/>
    <w:rsid w:val="264D21A6"/>
    <w:rsid w:val="364715C8"/>
    <w:rsid w:val="3D6F7C53"/>
    <w:rsid w:val="41126F36"/>
    <w:rsid w:val="44B9619F"/>
    <w:rsid w:val="44CB726F"/>
    <w:rsid w:val="483C10A3"/>
    <w:rsid w:val="4E252AC8"/>
    <w:rsid w:val="577A7FD2"/>
    <w:rsid w:val="597061D0"/>
    <w:rsid w:val="5A715E56"/>
    <w:rsid w:val="5C3B671B"/>
    <w:rsid w:val="5C43675D"/>
    <w:rsid w:val="5E3966AC"/>
    <w:rsid w:val="687233D9"/>
    <w:rsid w:val="688539D2"/>
    <w:rsid w:val="6BDA3EC9"/>
    <w:rsid w:val="6D535020"/>
    <w:rsid w:val="6DF96710"/>
    <w:rsid w:val="6E1E36AB"/>
    <w:rsid w:val="75F36DB6"/>
    <w:rsid w:val="76872764"/>
    <w:rsid w:val="77414FBB"/>
    <w:rsid w:val="7B3E2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widowControl w:val="0"/>
      <w:suppressLineNumbers w:val="0"/>
      <w:adjustRightInd/>
      <w:snapToGrid/>
      <w:spacing w:before="0" w:beforeAutospacing="0" w:after="0" w:afterAutospacing="0" w:line="360" w:lineRule="exact"/>
      <w:ind w:left="0" w:right="0"/>
      <w:jc w:val="both"/>
      <w:outlineLvl w:val="1"/>
    </w:pPr>
    <w:rPr>
      <w:rFonts w:hint="default" w:ascii="Times New Roman" w:hAnsi="Times New Roman" w:eastAsia="宋体" w:cs="Times New Roman"/>
      <w:bCs/>
      <w:snapToGrid/>
      <w:kern w:val="2"/>
      <w:sz w:val="21"/>
      <w:szCs w:val="32"/>
      <w:lang w:val="en-US" w:eastAsia="zh-CN" w:bidi="ar"/>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正文格式"/>
    <w:basedOn w:val="1"/>
    <w:autoRedefine/>
    <w:qFormat/>
    <w:uiPriority w:val="0"/>
    <w:pPr>
      <w:spacing w:before="25" w:beforeLines="25" w:after="25" w:afterLines="25" w:line="360" w:lineRule="auto"/>
      <w:ind w:firstLine="40"/>
      <w:jc w:val="left"/>
    </w:pPr>
    <w:rPr>
      <w:rFonts w:ascii="Times New Roman" w:hAnsi="Times New Roman" w:eastAsia="宋体"/>
      <w:kern w:val="0"/>
      <w:sz w:val="24"/>
    </w:rPr>
  </w:style>
  <w:style w:type="paragraph" w:styleId="5">
    <w:name w:val="annotation text"/>
    <w:basedOn w:val="1"/>
    <w:qFormat/>
    <w:uiPriority w:val="0"/>
    <w:pPr>
      <w:jc w:val="left"/>
    </w:pPr>
  </w:style>
  <w:style w:type="paragraph" w:styleId="6">
    <w:name w:val="Body Text"/>
    <w:basedOn w:val="1"/>
    <w:next w:val="7"/>
    <w:autoRedefine/>
    <w:qFormat/>
    <w:uiPriority w:val="1"/>
    <w:rPr>
      <w:rFonts w:ascii="宋体" w:hAnsi="宋体" w:eastAsia="宋体" w:cs="宋体"/>
      <w:sz w:val="24"/>
      <w:szCs w:val="24"/>
      <w:lang w:val="zh-CN" w:eastAsia="zh-CN" w:bidi="zh-CN"/>
    </w:rPr>
  </w:style>
  <w:style w:type="paragraph" w:customStyle="1" w:styleId="7">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首行缩进:  2 字符1"/>
    <w:basedOn w:val="1"/>
    <w:qFormat/>
    <w:uiPriority w:val="0"/>
    <w:pPr>
      <w:adjustRightInd w:val="0"/>
      <w:snapToGrid w:val="0"/>
      <w:spacing w:line="360" w:lineRule="auto"/>
      <w:ind w:firstLine="480"/>
    </w:pPr>
    <w:rPr>
      <w:rFonts w:cs="宋体"/>
    </w:rPr>
  </w:style>
  <w:style w:type="paragraph" w:customStyle="1" w:styleId="14">
    <w:name w:val="Table Paragraph"/>
    <w:basedOn w:val="1"/>
    <w:qFormat/>
    <w:uiPriority w:val="1"/>
    <w:rPr>
      <w:rFonts w:ascii="宋体" w:hAnsi="宋体" w:eastAsia="宋体" w:cs="宋体"/>
      <w:lang w:val="zh-CN" w:eastAsia="zh-CN" w:bidi="zh-CN"/>
    </w:rPr>
  </w:style>
  <w:style w:type="paragraph" w:customStyle="1" w:styleId="15">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1203</Words>
  <Characters>1361</Characters>
  <Lines>0</Lines>
  <Paragraphs>0</Paragraphs>
  <TotalTime>0</TotalTime>
  <ScaleCrop>false</ScaleCrop>
  <LinksUpToDate>false</LinksUpToDate>
  <CharactersWithSpaces>1371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2018-07-17T12:09:00Z</dcterms:created>
  <dc:creator>Administrator</dc:creator>
  <cp:lastModifiedBy>总是幸福的小满满</cp:lastModifiedBy>
  <dcterms:modified xsi:type="dcterms:W3CDTF">2024-08-26T08:03:15Z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3AF00312D6A04BC4A88AAEF7CFFA77FC</vt:lpwstr>
  </property>
</Properties>
</file>